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广西壮族自治区专利奖评奖办法（试行）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》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</w:rPr>
        <w:t>（征求意见稿）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auto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第一章  总 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第一条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为深入实施知识产权战略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充分激发社会创新活力，促进发明创造成果转化为现实生产力，根据《广西壮族自治区专利条例》的有关规定，制定本办法。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第二条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设立广西壮族自治区专利奖（以下简称广西专利奖），旨在鼓励和表彰为广西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发明创造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及经济社会发展做出突出贡献的专利权人和发明人（设计人）。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 xml:space="preserve">第三条 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本办法适用于广西专利奖的申报、评审和授予等各项活动。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第四条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广西专利奖遵循激励创新、强化保护、注重效益、自愿参评、公平公正公开的原则。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 第二章  奖项设置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第五条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广西专利奖设广西专利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特等奖、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一、二、三等奖、广西外观设计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特等奖、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一、二、三等奖，每三年评选一次。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广西专利奖从发明专利和实用新型专利中评选出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特等奖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1项、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一等奖5项、二等奖10项、三等奖20项。广西外观设计奖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从外观设计专利中评选出特等奖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1项、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一等奖2项、二等奖5项、三等奖10项。相应奖项可以空缺。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第三章  评审组织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第六条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 xml:space="preserve">  自治区市场监管局设立广西专利奖评审委员会，负责对广西专利奖的评审、批准和授奖等有关工作。评审委员会下设评审办公室，负责日常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组织协调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 xml:space="preserve">第四章 评价指标及权重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第七条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发明、实用新型专利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（一）专利质量（25%）。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评价：1.新颖性、创造性、实用性；2.文本质量。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（二）技术先进性（25%）。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评价：1.原创性及重要性；2.相比当前同类技术的优缺点；3.专利技术的通用性。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（三）运用及保护措施和成效（35%）。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评价：1.专利运用及保护措施；2.经济效益及市场份额。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（四）社会效益及发展前景（15%）。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评价：1.社会效益；2.行业影响力；3.政策适应性。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第八条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外观设计专利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（一）专利质量（25%）。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评价：1.创新性和工业适用性；2.文本质量。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（二）设计要点及理念的表达（25%）。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评价：1.设计要点独特性；2.艺术性及象征性；3.功能性。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（三）运用及保护措施和成效（35%）。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评价：1.专利运用及保护措施；2.经济效益及市场份额。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（四）社会效益及发展前景（15%）。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评价：1.社会效益；2.发展前景。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第五章  参评条件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第九条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参评条件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广西专利奖参评项目应符合下列条件：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（一）在广西注册或者在广西工作的专利权人，或者对广西经济社会发展有突出贡献的其他专利权人。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（二）已在广西区内合法实施两年以上，专利评奖项目申报前一年已取得显著的经济和社会效益。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（三）专利权有效且不存在专利权属纠纷、发明人或者设计人纠纷，专利权也未处于无效宣告请求程序中。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（四）针对该专利有相对完善的保护措施。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（五）专利技术及其产品符合国家和广西的产业政策、环保政策。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（六）专利未曾获得过中国专利奖或者广西专利奖。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（七）没有法律、法规规定的其他不适合参评的情形。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第十条 参评材料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br w:type="textWrapping"/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　　广西专利奖参评项目应当提交下列材料：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（一）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广西专利奖申报书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（二）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相关证明材料。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第六章  申报及评审程序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第十一条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申报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广西专利奖参评项目采取自愿申报方式。具体申报时间、报送方式和要求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等以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申报通知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为准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第十二条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评审程序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（一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评审办公室负责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组织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对申报项目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材料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进行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形式审查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（二）评审办公室组织若干专家组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或委托第三方权威专业机构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对通过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形式审查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的项目进行评审，提出评审意见。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（三）根据评审意见，评审办公室提出获奖项目和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奖励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等级意见，报评审委员会审定。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（四）获奖项目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奖励等级经评审委员会同意后，在自治区市场监督管理局网站公示评选结果，公示期为7天。对在公示期内无异议或异议不成立的项目批准获奖。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第七章 异议处理及回避制度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第十三条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异议处理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（一）广西专利奖评选工作接受社会监督，社会公众对公示项目有异议的，可在规定时间内向评审办公室提出。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（二）评审办公室接收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到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异议材料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后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对异议进行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调查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分析，形成异议处理意见并向评审委员会报告，经评审委员会决定后，将处理意见通知异议方和项目申报人。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（三）参与异议处理的有关人员对异议者的身份及有关异议信息予以保密。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第十四条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回避制度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参与评审的专家、工作人员等，如果具备以下情形之一的，应当回避：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（一）是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参评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专利权人（发明人）的近亲属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（二）与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参评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专利有其他直接利害关系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（三）担任过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参评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专利的代理人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（四）与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参评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专利的专利权人有其他关系，可能影响公正评选的。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第八章  授奖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第十五条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广西专利奖颁发证书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奖金。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广西专利特等奖、一等奖、二等奖、三等奖分别奖励人民币50万元、10万元、8万元、5万元；广西外观设计特等奖、一等奖、二等奖、三等奖分别奖励人民币30万元、8万元、5万元、3万元。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奖励经费由自治区本级财政预算安排。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奖金由获奖项目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专利权人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自行支配。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第十六条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获广西专利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奖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的发明人或设计人，其获奖情况可作为考核、岗位聘用、申报专业技术职称的依据之一；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第十七条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获广西专利奖的专利权人可以在其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运用该专利的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产品上标注奖项名称及获奖时间；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第十八条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获广西专利奖并符合中国专利奖推荐条件的项目，将择优推荐作为中国专利奖参评项目。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第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九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章  法律责任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第十九条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对于获奖项目，若发现报送材料不实，且有证据证明不符合获奖条件的；存在剽窃、侵夺他人专利技术成果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的；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或者以不正当手段获取广西专利奖的，撤销授奖并追回奖金和证书。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第二十条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被撤销授奖的单位和个人将录入诚信记录。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第二十一条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单位和个人提供虚假数据、材料，协助他人骗取广西专利奖的，对负有直接责任的主管人员和其他直接责任人员，依法追究其责任。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第二十二条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评审办公室工作人员及评审专家应坚持公平、公正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公开的原则开展工作，因滥用职权、徇私舞弊造成损失和不良后果的，承担相应的行政和法律责任。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第十章   附 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第二十三条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本办法由自治区市场监管局负责解释。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第二十四条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本办法自公布之日起实施。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宋体" w:hAnsi="宋体" w:eastAsia="宋体" w:cs="宋体"/>
          <w:b w:val="0"/>
          <w:bCs/>
          <w:color w:val="auto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宋体" w:hAnsi="宋体" w:eastAsia="宋体" w:cs="宋体"/>
          <w:b w:val="0"/>
          <w:bCs/>
          <w:color w:val="auto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宋体" w:hAnsi="宋体" w:eastAsia="宋体" w:cs="宋体"/>
          <w:b w:val="0"/>
          <w:bCs/>
          <w:color w:val="auto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9"/>
          <w:rFonts w:hint="eastAsia" w:ascii="宋体" w:hAnsi="宋体" w:eastAsia="宋体" w:cs="宋体"/>
          <w:b w:val="0"/>
          <w:bCs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468" w:afterLines="150" w:line="560" w:lineRule="exact"/>
        <w:jc w:val="center"/>
        <w:textAlignment w:val="auto"/>
        <w:rPr>
          <w:rStyle w:val="9"/>
          <w:rFonts w:hint="eastAsia" w:ascii="宋体" w:hAnsi="宋体" w:eastAsia="宋体" w:cs="宋体"/>
          <w:color w:val="auto"/>
          <w:sz w:val="48"/>
          <w:szCs w:val="48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9"/>
          <w:rFonts w:hint="eastAsia" w:ascii="宋体" w:hAnsi="宋体" w:eastAsia="宋体" w:cs="宋体"/>
          <w:color w:val="auto"/>
          <w:sz w:val="36"/>
          <w:szCs w:val="36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20" w:firstLineChars="200"/>
        <w:textAlignment w:val="auto"/>
        <w:rPr>
          <w:rStyle w:val="9"/>
          <w:rFonts w:hint="eastAsia" w:ascii="宋体" w:hAnsi="宋体" w:eastAsia="宋体" w:cs="宋体"/>
          <w:b w:val="0"/>
          <w:bCs/>
          <w:color w:val="auto"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9285C"/>
    <w:rsid w:val="001011F9"/>
    <w:rsid w:val="00536D37"/>
    <w:rsid w:val="00667A35"/>
    <w:rsid w:val="006733AB"/>
    <w:rsid w:val="006A0D73"/>
    <w:rsid w:val="00711751"/>
    <w:rsid w:val="00875E14"/>
    <w:rsid w:val="00B36C68"/>
    <w:rsid w:val="00E51BEB"/>
    <w:rsid w:val="00ED40A7"/>
    <w:rsid w:val="01CE56BB"/>
    <w:rsid w:val="0363383E"/>
    <w:rsid w:val="03833F52"/>
    <w:rsid w:val="04911B49"/>
    <w:rsid w:val="06007ADD"/>
    <w:rsid w:val="07924646"/>
    <w:rsid w:val="07AC5C28"/>
    <w:rsid w:val="09F71F63"/>
    <w:rsid w:val="0CAA7ABF"/>
    <w:rsid w:val="0CF00AC8"/>
    <w:rsid w:val="0E250C99"/>
    <w:rsid w:val="0E9B6D7B"/>
    <w:rsid w:val="0F99285C"/>
    <w:rsid w:val="103E3191"/>
    <w:rsid w:val="11861069"/>
    <w:rsid w:val="119F3A9F"/>
    <w:rsid w:val="131E12B4"/>
    <w:rsid w:val="139E603B"/>
    <w:rsid w:val="146D4A23"/>
    <w:rsid w:val="14BE3186"/>
    <w:rsid w:val="1590451C"/>
    <w:rsid w:val="167A4334"/>
    <w:rsid w:val="16B35092"/>
    <w:rsid w:val="194E181E"/>
    <w:rsid w:val="1C956680"/>
    <w:rsid w:val="1D2A08C0"/>
    <w:rsid w:val="1EA74BFC"/>
    <w:rsid w:val="1EBF1E2F"/>
    <w:rsid w:val="1F325756"/>
    <w:rsid w:val="1F9B35D0"/>
    <w:rsid w:val="20E47738"/>
    <w:rsid w:val="212B1D78"/>
    <w:rsid w:val="21F800AC"/>
    <w:rsid w:val="22E63B3C"/>
    <w:rsid w:val="24A1274F"/>
    <w:rsid w:val="27BC4DBF"/>
    <w:rsid w:val="27FD28D5"/>
    <w:rsid w:val="281E7CCE"/>
    <w:rsid w:val="2888402E"/>
    <w:rsid w:val="2BF906DD"/>
    <w:rsid w:val="2C037EDA"/>
    <w:rsid w:val="2C3F3C23"/>
    <w:rsid w:val="2E233349"/>
    <w:rsid w:val="2F624A3E"/>
    <w:rsid w:val="2F664093"/>
    <w:rsid w:val="306D5203"/>
    <w:rsid w:val="32E34DC3"/>
    <w:rsid w:val="345175A3"/>
    <w:rsid w:val="347C42FC"/>
    <w:rsid w:val="36274988"/>
    <w:rsid w:val="37185A17"/>
    <w:rsid w:val="377761E2"/>
    <w:rsid w:val="37F93E9C"/>
    <w:rsid w:val="3E520D76"/>
    <w:rsid w:val="3EFF56E7"/>
    <w:rsid w:val="40DB4635"/>
    <w:rsid w:val="40F1016F"/>
    <w:rsid w:val="43791D47"/>
    <w:rsid w:val="44122BB9"/>
    <w:rsid w:val="443A05C1"/>
    <w:rsid w:val="466A4826"/>
    <w:rsid w:val="471135DF"/>
    <w:rsid w:val="47662F0A"/>
    <w:rsid w:val="47B02C46"/>
    <w:rsid w:val="48C13514"/>
    <w:rsid w:val="49270810"/>
    <w:rsid w:val="494D449C"/>
    <w:rsid w:val="4A235C43"/>
    <w:rsid w:val="4AAB1C6F"/>
    <w:rsid w:val="4FB47C55"/>
    <w:rsid w:val="50053650"/>
    <w:rsid w:val="50E103F7"/>
    <w:rsid w:val="51050B93"/>
    <w:rsid w:val="547B6CEF"/>
    <w:rsid w:val="54A97A30"/>
    <w:rsid w:val="55BF54CC"/>
    <w:rsid w:val="56B0107B"/>
    <w:rsid w:val="56CC1054"/>
    <w:rsid w:val="5BAF50B5"/>
    <w:rsid w:val="5C577E42"/>
    <w:rsid w:val="5FBA29D7"/>
    <w:rsid w:val="5FDA04E1"/>
    <w:rsid w:val="606E2CB0"/>
    <w:rsid w:val="60EB0B53"/>
    <w:rsid w:val="62166250"/>
    <w:rsid w:val="62D72B2A"/>
    <w:rsid w:val="633264F8"/>
    <w:rsid w:val="638522D8"/>
    <w:rsid w:val="656E40EC"/>
    <w:rsid w:val="65C25C66"/>
    <w:rsid w:val="67922CA5"/>
    <w:rsid w:val="691456D8"/>
    <w:rsid w:val="69971BAB"/>
    <w:rsid w:val="6ABD47DC"/>
    <w:rsid w:val="6D560D68"/>
    <w:rsid w:val="6F2A7C4E"/>
    <w:rsid w:val="6F6D4F5D"/>
    <w:rsid w:val="71377668"/>
    <w:rsid w:val="729B29D2"/>
    <w:rsid w:val="73DD514A"/>
    <w:rsid w:val="74ED6F97"/>
    <w:rsid w:val="77B33ADB"/>
    <w:rsid w:val="79F82B1E"/>
    <w:rsid w:val="7A6803D8"/>
    <w:rsid w:val="7AC108C3"/>
    <w:rsid w:val="7BFC745B"/>
    <w:rsid w:val="7E2D0133"/>
    <w:rsid w:val="7F726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007\&#31243;&#27946;20200709083646\&#12298;&#24191;&#35199;&#22766;&#26063;&#33258;&#27835;&#21306;&#19987;&#21033;&#22870;&#35780;&#22870;&#21150;&#27861;&#65288;&#35797;&#34892;&#65289;&#12299;&#65288;&#24449;&#27714;&#24847;&#35265;&#31295;&#65289;&#65288;2020.7.8)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《广西壮族自治区专利奖评奖办法（试行）》（征求意见稿）（2020.7.8).doc</Template>
  <Pages>6</Pages>
  <Words>2205</Words>
  <Characters>2246</Characters>
  <Lines>64</Lines>
  <Paragraphs>18</Paragraphs>
  <TotalTime>10</TotalTime>
  <ScaleCrop>false</ScaleCrop>
  <LinksUpToDate>false</LinksUpToDate>
  <CharactersWithSpaces>2330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2020-07-10T07:50:00Z</dcterms:created>
  <dc:creator>雷海玲</dc:creator>
  <cp:lastModifiedBy>Administrator</cp:lastModifiedBy>
  <cp:lastPrinted>2020-07-10T08:35:00Z</cp:lastPrinted>
  <dcterms:modified xsi:type="dcterms:W3CDTF">2020-07-21T07:13:32Z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